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F78D">
      <w:pPr>
        <w:spacing w:before="0" w:after="156" w:afterLines="50" w:line="560" w:lineRule="exact"/>
        <w:ind w:firstLine="0" w:firstLineChars="0"/>
        <w:jc w:val="left"/>
        <w:rPr>
          <w:rFonts w:hint="eastAsia" w:ascii="Times New Roman" w:hAnsi="Times New Roman" w:eastAsia="黑体" w:cs="黑体"/>
          <w:highlight w:val="none"/>
          <w:u w:val="none"/>
        </w:rPr>
      </w:pPr>
      <w:r>
        <w:rPr>
          <w:rFonts w:hint="eastAsia" w:ascii="Times New Roman" w:hAnsi="Times New Roman" w:eastAsia="黑体" w:cs="黑体"/>
          <w:highlight w:val="none"/>
          <w:u w:val="none"/>
        </w:rPr>
        <w:t>附件4</w:t>
      </w:r>
    </w:p>
    <w:p w14:paraId="1D5997D5">
      <w:pPr>
        <w:pStyle w:val="3"/>
        <w:bidi w:val="0"/>
        <w:spacing w:line="560" w:lineRule="exact"/>
        <w:rPr>
          <w:rFonts w:hint="eastAsia" w:ascii="Times New Roman" w:hAnsi="Times New Roman"/>
          <w:lang w:val="en-US" w:eastAsia="zh-CN"/>
        </w:rPr>
      </w:pPr>
      <w:bookmarkStart w:id="0" w:name="_Toc56531692"/>
      <w:bookmarkStart w:id="1" w:name="_Toc56531525"/>
      <w:bookmarkStart w:id="2" w:name="_Toc56002404"/>
      <w:bookmarkStart w:id="3" w:name="_Hlk56531750"/>
      <w:r>
        <w:rPr>
          <w:rFonts w:hint="eastAsia" w:ascii="Times New Roman" w:hAnsi="Times New Roman"/>
          <w:lang w:val="en-US" w:eastAsia="zh-CN"/>
        </w:rPr>
        <w:t>福清市城区非居民定额（计划）用水指标调整办理须知</w:t>
      </w:r>
    </w:p>
    <w:bookmarkEnd w:id="0"/>
    <w:bookmarkEnd w:id="1"/>
    <w:bookmarkEnd w:id="2"/>
    <w:p w14:paraId="3AF39A61">
      <w:pPr>
        <w:spacing w:line="560" w:lineRule="exact"/>
        <w:rPr>
          <w:rFonts w:ascii="Times New Roman" w:hAnsi="Times New Roman"/>
          <w:highlight w:val="none"/>
          <w:u w:val="none"/>
        </w:rPr>
      </w:pPr>
      <w:bookmarkStart w:id="4" w:name="_GoBack"/>
      <w:bookmarkEnd w:id="4"/>
    </w:p>
    <w:bookmarkEnd w:id="3"/>
    <w:p w14:paraId="4B414108">
      <w:pPr>
        <w:pStyle w:val="4"/>
        <w:spacing w:line="560" w:lineRule="exact"/>
        <w:rPr>
          <w:rFonts w:hint="eastAsia" w:ascii="Times New Roman" w:hAnsi="Times New Roman"/>
          <w:highlight w:val="none"/>
          <w:u w:val="none"/>
          <w:lang w:eastAsia="zh-CN"/>
        </w:rPr>
      </w:pPr>
      <w:r>
        <w:rPr>
          <w:rFonts w:hint="eastAsia" w:ascii="Times New Roman" w:hAnsi="Times New Roman"/>
          <w:highlight w:val="none"/>
          <w:u w:val="none"/>
        </w:rPr>
        <w:t>一、</w:t>
      </w:r>
      <w:r>
        <w:rPr>
          <w:rFonts w:hint="eastAsia" w:ascii="Times New Roman" w:hAnsi="Times New Roman" w:cs="Times New Roman"/>
          <w:b w:val="0"/>
          <w:bCs w:val="0"/>
          <w:highlight w:val="none"/>
          <w:u w:val="none"/>
        </w:rPr>
        <w:t>定额（计划）用水量核定</w:t>
      </w:r>
    </w:p>
    <w:p w14:paraId="52B6EC52">
      <w:pPr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楷体_GB2312" w:cs="宋体"/>
          <w:b w:val="0"/>
          <w:bCs w:val="0"/>
          <w:kern w:val="0"/>
          <w:szCs w:val="27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宋体"/>
          <w:b w:val="0"/>
          <w:bCs w:val="0"/>
          <w:kern w:val="0"/>
          <w:szCs w:val="27"/>
          <w:highlight w:val="none"/>
          <w:u w:val="none"/>
          <w:lang w:val="en-US" w:eastAsia="zh-CN" w:bidi="ar"/>
        </w:rPr>
        <w:t>（一）定额用水量核定</w:t>
      </w:r>
    </w:p>
    <w:p w14:paraId="0583F5F2">
      <w:pPr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用水定额管理按照《福建省行业用水定额》（DB35/T 772）中的通用值标准执行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后续有修订或更新，自动适用最新版本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。用户须于每年12月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提交下一年度的定额管理申请报告及本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年度定额指标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数据相关佐证材料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城市节水行政主管部门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采取抽查制对提供的数据进行现场复核。未及时提供相关数据的定额用户按计划方式管理。</w:t>
      </w:r>
    </w:p>
    <w:p w14:paraId="360EDA3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在同一个地址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存在多个水表，则每个水表的定额用水量由用户自行分配，分配方案应当与定额指标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申请材料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同时报送。</w:t>
      </w:r>
    </w:p>
    <w:p w14:paraId="5FAFD5E7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计算公式：用户月定额用水量=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上一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年度定额指标数量×用水定额标准×[1+系数（S）]/12。</w:t>
      </w:r>
    </w:p>
    <w:p w14:paraId="03A59527">
      <w:pPr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宋体"/>
          <w:b w:val="0"/>
          <w:bCs w:val="0"/>
          <w:kern w:val="0"/>
          <w:sz w:val="32"/>
          <w:szCs w:val="27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宋体"/>
          <w:b w:val="0"/>
          <w:bCs w:val="0"/>
          <w:kern w:val="0"/>
          <w:sz w:val="32"/>
          <w:szCs w:val="27"/>
          <w:highlight w:val="none"/>
          <w:u w:val="none"/>
          <w:lang w:val="en-US" w:eastAsia="zh-CN" w:bidi="ar"/>
        </w:rPr>
        <w:t>（二）计划用水量核定</w:t>
      </w:r>
    </w:p>
    <w:p w14:paraId="72966B4C">
      <w:pPr>
        <w:pStyle w:val="2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暂未纳入用水定额管理或尚无行业用水定额标准的用户，由城市节水行政主管部门结合用户上一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实际用水情况（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前一年未满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12个月的用水户统一按新增用户进行管理，其中达7个月及以上的按近3个月计；未满7个月的暂不核定用水指标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）、各类节水措施落实情况等因素，核定非居民用户计划用水量。</w:t>
      </w:r>
    </w:p>
    <w:p w14:paraId="032797D7">
      <w:pPr>
        <w:pageBreakBefore w:val="0"/>
        <w:widowControl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计算公式：用户月计划水量=用户上一年度月平均水量×[1+系数（S）]。</w:t>
      </w:r>
    </w:p>
    <w:p w14:paraId="69D38E49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月均用水量100吨以下的用户，统一按100吨下达月计划水量。</w:t>
      </w:r>
    </w:p>
    <w:p w14:paraId="3A838E2E">
      <w:pPr>
        <w:pStyle w:val="4"/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二、</w:t>
      </w:r>
      <w:r>
        <w:rPr>
          <w:rFonts w:hint="eastAsia" w:ascii="Times New Roman" w:hAnsi="Times New Roman"/>
          <w:highlight w:val="none"/>
          <w:u w:val="none"/>
          <w:lang w:val="en-US" w:eastAsia="zh-CN"/>
        </w:rPr>
        <w:t>定额（</w:t>
      </w:r>
      <w:r>
        <w:rPr>
          <w:rFonts w:hint="eastAsia" w:ascii="Times New Roman" w:hAnsi="Times New Roman"/>
          <w:highlight w:val="none"/>
          <w:u w:val="none"/>
        </w:rPr>
        <w:t>计划</w:t>
      </w:r>
      <w:r>
        <w:rPr>
          <w:rFonts w:hint="eastAsia" w:ascii="Times New Roman" w:hAnsi="Times New Roman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/>
          <w:highlight w:val="none"/>
          <w:u w:val="none"/>
        </w:rPr>
        <w:t>指标调整</w:t>
      </w:r>
    </w:p>
    <w:p w14:paraId="0D78FC26">
      <w:pPr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Style w:val="15"/>
          <w:rFonts w:hint="eastAsia" w:ascii="Times New Roman" w:hAnsi="Times New Roman"/>
          <w:highlight w:val="none"/>
          <w:u w:val="none"/>
        </w:rPr>
        <w:t>（一）</w:t>
      </w:r>
      <w:r>
        <w:rPr>
          <w:rStyle w:val="15"/>
          <w:rFonts w:hint="eastAsia" w:ascii="仿宋_GB2312" w:hAnsi="仿宋_GB2312" w:eastAsia="仿宋_GB2312" w:cs="仿宋_GB2312"/>
          <w:highlight w:val="none"/>
          <w:u w:val="none"/>
          <w:lang w:val="en-US" w:eastAsia="zh-CN"/>
        </w:rPr>
        <w:t>用户因生产规模、产品、工艺、人数等发生变化导致用水量大幅增加的可申请调整用水计划指标</w:t>
      </w:r>
      <w:r>
        <w:rPr>
          <w:rStyle w:val="15"/>
          <w:rFonts w:hint="eastAsia" w:ascii="仿宋_GB2312" w:hAnsi="仿宋_GB2312" w:cs="仿宋_GB231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/>
          <w:highlight w:val="none"/>
          <w:u w:val="none"/>
          <w:lang w:val="en-US" w:eastAsia="zh-CN"/>
        </w:rPr>
        <w:t>且</w:t>
      </w:r>
      <w:r>
        <w:rPr>
          <w:rFonts w:hint="eastAsia" w:ascii="Times New Roman" w:hAnsi="Times New Roman"/>
          <w:b/>
          <w:bCs/>
          <w:highlight w:val="none"/>
          <w:u w:val="none"/>
          <w:lang w:val="en-US" w:eastAsia="zh-CN"/>
        </w:rPr>
        <w:t>每年最多可提出2次指标调整的申请</w:t>
      </w:r>
      <w:r>
        <w:rPr>
          <w:rFonts w:hint="eastAsia" w:ascii="Times New Roman" w:hAnsi="Times New Roman"/>
          <w:highlight w:val="none"/>
          <w:u w:val="none"/>
        </w:rPr>
        <w:t>。</w:t>
      </w:r>
    </w:p>
    <w:p w14:paraId="5C529D3F">
      <w:pPr>
        <w:pStyle w:val="5"/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（二）申请条件</w:t>
      </w:r>
    </w:p>
    <w:p w14:paraId="03A4B0B9">
      <w:pPr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1.内部设立用水、节水管理机构，有专职/兼职用水、节水管理人员，有相关节水管理制度、条例，张贴节水宣传标识；</w:t>
      </w:r>
    </w:p>
    <w:p w14:paraId="0CB5D3D7">
      <w:pPr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2.内部用水台账完整，日常进行用水数据统计、分析，并按时报送相关节水报表；</w:t>
      </w:r>
    </w:p>
    <w:p w14:paraId="4E3CA84E">
      <w:pPr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3.用水单耗不超过行业或地方和国家标准，内部用水设施、设备完好，无跑冒滴漏，无国家明令淘汰用水器具；</w:t>
      </w:r>
    </w:p>
    <w:p w14:paraId="03F83DCD">
      <w:pPr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4.按时缴交水费，无水费拖欠现象。</w:t>
      </w:r>
    </w:p>
    <w:p w14:paraId="43C97337">
      <w:pPr>
        <w:pStyle w:val="5"/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（三）申请材料</w:t>
      </w:r>
    </w:p>
    <w:p w14:paraId="01601C95">
      <w:pPr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1.《</w:t>
      </w:r>
      <w:r>
        <w:rPr>
          <w:rFonts w:hint="eastAsia" w:ascii="Times New Roman" w:hAnsi="Times New Roman"/>
          <w:highlight w:val="none"/>
          <w:u w:val="none"/>
          <w:lang w:val="en-US" w:eastAsia="zh-CN"/>
        </w:rPr>
        <w:t>福清</w:t>
      </w:r>
      <w:r>
        <w:rPr>
          <w:rFonts w:hint="eastAsia" w:ascii="Times New Roman" w:hAnsi="Times New Roman"/>
          <w:highlight w:val="none"/>
          <w:u w:val="none"/>
        </w:rPr>
        <w:t>市非居民用户定额（计划）用水指标调整申请表》</w:t>
      </w:r>
      <w:r>
        <w:rPr>
          <w:rFonts w:hint="eastAsia" w:ascii="Times New Roman" w:hAnsi="Times New Roman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/>
          <w:highlight w:val="none"/>
          <w:u w:val="none"/>
          <w:lang w:val="en-US" w:eastAsia="zh-CN"/>
        </w:rPr>
        <w:t>增加计划用水指标情况说明</w:t>
      </w:r>
      <w:r>
        <w:rPr>
          <w:rFonts w:hint="eastAsia" w:ascii="Times New Roman" w:hAnsi="Times New Roman"/>
          <w:highlight w:val="none"/>
          <w:u w:val="none"/>
        </w:rPr>
        <w:t>；</w:t>
      </w:r>
    </w:p>
    <w:p w14:paraId="6113F420">
      <w:pPr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2.提供营业执照（法人单位证明或组织机构代码证）复印件，经办人身份证复印件、租赁合同复印件等，且须在提供的材料上签字、盖章；</w:t>
      </w:r>
    </w:p>
    <w:p w14:paraId="73A507FD">
      <w:pPr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3.开展水平衡测试工作及节水型企业、节水型单位的创建工作的，需报城市节水行政主管部门备案，并提交《水平衡测试合同》、《水平衡测试报告书》及《节水型企业、单位报告书》。</w:t>
      </w:r>
    </w:p>
    <w:p w14:paraId="6F980BC7">
      <w:pPr>
        <w:pStyle w:val="5"/>
        <w:bidi w:val="0"/>
        <w:spacing w:line="560" w:lineRule="exact"/>
        <w:rPr>
          <w:rFonts w:ascii="Times New Roman" w:hAnsi="Times New Roman"/>
          <w:highlight w:val="none"/>
          <w:u w:val="none"/>
        </w:rPr>
      </w:pPr>
      <w:r>
        <w:rPr>
          <w:rFonts w:hint="eastAsia" w:ascii="Times New Roman" w:hAnsi="Times New Roman"/>
          <w:highlight w:val="none"/>
          <w:u w:val="none"/>
        </w:rPr>
        <w:t>（四）办理流程</w:t>
      </w:r>
    </w:p>
    <w:p w14:paraId="0D873B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auto"/>
          <w:highlight w:val="none"/>
        </w:rPr>
      </w:pPr>
      <w:r>
        <w:rPr>
          <w:rFonts w:hint="eastAsia"/>
          <w:highlight w:val="none"/>
        </w:rPr>
        <w:t>市水务公司根据规定，对各营业网点报送的用户申请材料进行初步审核。对审核不通过的用户，应在当月</w:t>
      </w:r>
      <w:r>
        <w:rPr>
          <w:rFonts w:hint="eastAsia"/>
          <w:highlight w:val="none"/>
          <w:lang w:eastAsia="zh-CN"/>
        </w:rPr>
        <w:t>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日前予以退件；对初审通过的用户，市水务公司应在申请表上填上初审意见和用水指标核定建议，并于每月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日前向住建局集中报送本月初审通过的申请材料。</w:t>
      </w:r>
      <w:r>
        <w:rPr>
          <w:rFonts w:hint="eastAsia"/>
          <w:sz w:val="32"/>
          <w:highlight w:val="none"/>
        </w:rPr>
        <w:t>复审通过的用</w:t>
      </w:r>
      <w:r>
        <w:rPr>
          <w:rFonts w:hint="eastAsia"/>
          <w:color w:val="auto"/>
          <w:sz w:val="32"/>
          <w:highlight w:val="none"/>
        </w:rPr>
        <w:t>户，住建局于每月</w:t>
      </w:r>
      <w:r>
        <w:rPr>
          <w:rFonts w:hint="eastAsia"/>
          <w:color w:val="auto"/>
          <w:sz w:val="32"/>
          <w:highlight w:val="none"/>
          <w:lang w:val="en-US" w:eastAsia="zh-CN"/>
        </w:rPr>
        <w:t>30</w:t>
      </w:r>
      <w:r>
        <w:rPr>
          <w:rFonts w:hint="eastAsia"/>
          <w:color w:val="auto"/>
          <w:sz w:val="32"/>
          <w:highlight w:val="none"/>
        </w:rPr>
        <w:t>日前发函给水务公司，从申请之日的</w:t>
      </w:r>
      <w:r>
        <w:rPr>
          <w:rFonts w:hint="eastAsia"/>
          <w:color w:val="auto"/>
          <w:sz w:val="32"/>
          <w:highlight w:val="none"/>
          <w:lang w:val="en-US" w:eastAsia="zh-CN"/>
        </w:rPr>
        <w:t>当</w:t>
      </w:r>
      <w:r>
        <w:rPr>
          <w:rFonts w:hint="eastAsia"/>
          <w:color w:val="auto"/>
          <w:sz w:val="32"/>
          <w:highlight w:val="none"/>
        </w:rPr>
        <w:t>月起对其执行新计划用水指标。</w:t>
      </w:r>
    </w:p>
    <w:p w14:paraId="15A9E1E9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定额（计划）用水量调整按照以下方式就高计取：①《福建省行业用水定额》（DB35/T 772）通用值标准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对学校、医院、酒店、游泳场所等条件较为成熟的行业和用水大户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；②最近连续三个月实际用水量平均值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；③上一年度同期用水量数据。</w:t>
      </w:r>
    </w:p>
    <w:p w14:paraId="30E490DA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计算公式：</w:t>
      </w:r>
    </w:p>
    <w:p w14:paraId="26306B85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调整后的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用户月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定额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水量=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年度定额指标数量×用水定额标准×[1+系数（S）]/12。</w:t>
      </w:r>
    </w:p>
    <w:p w14:paraId="52AF2913">
      <w:pPr>
        <w:pageBreakBefore w:val="0"/>
        <w:widowControl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调整后的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用户月计划水量=用户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近三个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月平均水量×[1+系数（S）]。</w:t>
      </w:r>
    </w:p>
    <w:p w14:paraId="12DA44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 w:val="0"/>
          <w:snapToGrid w:val="0"/>
          <w:kern w:val="2"/>
          <w:sz w:val="32"/>
          <w:szCs w:val="36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bCs w:val="0"/>
          <w:snapToGrid w:val="0"/>
          <w:kern w:val="2"/>
          <w:sz w:val="32"/>
          <w:szCs w:val="36"/>
          <w:highlight w:val="none"/>
          <w:u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bCs w:val="0"/>
          <w:snapToGrid w:val="0"/>
          <w:kern w:val="2"/>
          <w:sz w:val="32"/>
          <w:szCs w:val="36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bCs w:val="0"/>
          <w:snapToGrid w:val="0"/>
          <w:kern w:val="2"/>
          <w:sz w:val="32"/>
          <w:szCs w:val="36"/>
          <w:highlight w:val="none"/>
          <w:u w:val="none"/>
        </w:rPr>
        <w:t>节水管理水平系数（S）取值</w:t>
      </w:r>
    </w:p>
    <w:p w14:paraId="168D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定额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计划）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管理用户系数（S）初始值设为0，取值范围为-30%～20%；计划管理用户系数（S）初始值设为5%，取值范围为-30%～25%。有下列情形之一，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且证明材料齐全的，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可根据实际情况对系数（S）予以调整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，调整幅度不得超过取值范围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471A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1.未按规定完成水平衡测试的，或经开展水平衡测试发现存在不合理用水拒不整改的，系数下调10%。</w:t>
      </w:r>
    </w:p>
    <w:p w14:paraId="615D9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2.未及时、准确报送用水节水有关数据资料，或虚报谎报年度预测数据的，系数下调10%。</w:t>
      </w:r>
    </w:p>
    <w:p w14:paraId="6D98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3.未及时缴交水费或存在水费拖欠的，每拖欠1个月，系数下调5%。</w:t>
      </w:r>
    </w:p>
    <w:p w14:paraId="706350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节水型企业（单位）称号的，在节水型企业（单位）称号有效期内系数增加15%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8B2D3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5.积极投用节水技改项目并报城市节水行政主管部门备案的，在技改项目投用期间系数增加5%。</w:t>
      </w:r>
    </w:p>
    <w:p w14:paraId="22DEA0D8">
      <w:pPr>
        <w:spacing w:line="560" w:lineRule="exact"/>
        <w:rPr>
          <w:rFonts w:ascii="Times New Roman" w:hAnsi="Times New Roman"/>
          <w:highlight w:val="none"/>
          <w:u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78EAF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AD2FB9">
                <w:pPr>
                  <w:pStyle w:val="7"/>
                  <w:rPr>
                    <w:rFonts w:hint="default" w:ascii="Times New Roman" w:hAnsi="Times New Roman" w:eastAsia="仿宋_GB2312" w:cs="Times New Roman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jMzNiOWEyYWYzZWE5NzUwYmEwZGVhMzkzNDg1YzEifQ=="/>
  </w:docVars>
  <w:rsids>
    <w:rsidRoot w:val="006D22EB"/>
    <w:rsid w:val="006D22EB"/>
    <w:rsid w:val="0096752B"/>
    <w:rsid w:val="00AE6EDA"/>
    <w:rsid w:val="00F25E83"/>
    <w:rsid w:val="02FD4CAD"/>
    <w:rsid w:val="0463425D"/>
    <w:rsid w:val="050527A2"/>
    <w:rsid w:val="06C52BB9"/>
    <w:rsid w:val="0CE56CDF"/>
    <w:rsid w:val="0D766911"/>
    <w:rsid w:val="12E017EF"/>
    <w:rsid w:val="13BB4459"/>
    <w:rsid w:val="13F86586"/>
    <w:rsid w:val="145E77E3"/>
    <w:rsid w:val="151D0F9D"/>
    <w:rsid w:val="357F0E17"/>
    <w:rsid w:val="372633C5"/>
    <w:rsid w:val="3C132BE7"/>
    <w:rsid w:val="3FF62C41"/>
    <w:rsid w:val="47B136B8"/>
    <w:rsid w:val="56DF0CA2"/>
    <w:rsid w:val="57DC033C"/>
    <w:rsid w:val="611D6962"/>
    <w:rsid w:val="6D3F4BF9"/>
    <w:rsid w:val="7672276A"/>
    <w:rsid w:val="7C51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spacing w:line="500" w:lineRule="exact"/>
      <w:ind w:firstLine="880" w:firstLineChars="200"/>
      <w:outlineLvl w:val="1"/>
    </w:pPr>
    <w:rPr>
      <w:rFonts w:hint="eastAsia" w:eastAsia="黑体"/>
      <w:snapToGrid w:val="0"/>
      <w:sz w:val="32"/>
      <w:szCs w:val="36"/>
    </w:rPr>
  </w:style>
  <w:style w:type="paragraph" w:styleId="5">
    <w:name w:val="heading 3"/>
    <w:basedOn w:val="1"/>
    <w:next w:val="1"/>
    <w:link w:val="15"/>
    <w:unhideWhenUsed/>
    <w:qFormat/>
    <w:uiPriority w:val="9"/>
    <w:pPr>
      <w:spacing w:beforeAutospacing="0" w:afterAutospacing="0" w:line="500" w:lineRule="exact"/>
      <w:ind w:firstLine="640" w:firstLineChars="200"/>
      <w:jc w:val="left"/>
      <w:outlineLvl w:val="2"/>
    </w:pPr>
    <w:rPr>
      <w:rFonts w:hint="eastAsia" w:ascii="宋体" w:hAnsi="宋体" w:eastAsia="楷体_GB2312" w:cs="宋体"/>
      <w:kern w:val="0"/>
      <w:sz w:val="32"/>
      <w:szCs w:val="27"/>
      <w:lang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字符"/>
    <w:basedOn w:val="10"/>
    <w:link w:val="3"/>
    <w:qFormat/>
    <w:uiPriority w:val="0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2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标题 3 Char"/>
    <w:link w:val="5"/>
    <w:qFormat/>
    <w:uiPriority w:val="0"/>
    <w:rPr>
      <w:rFonts w:hint="eastAsia" w:ascii="宋体" w:hAnsi="宋体" w:eastAsia="楷体_GB2312" w:cs="宋体"/>
      <w:kern w:val="0"/>
      <w:sz w:val="32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1609</Words>
  <Characters>1678</Characters>
  <Lines>20</Lines>
  <Paragraphs>5</Paragraphs>
  <TotalTime>0</TotalTime>
  <ScaleCrop>false</ScaleCrop>
  <LinksUpToDate>false</LinksUpToDate>
  <CharactersWithSpaces>1680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2021-01-26T02:47:00Z</dcterms:created>
  <dc:creator>Lu Binbin</dc:creator>
  <cp:lastModifiedBy>林芳</cp:lastModifiedBy>
  <cp:lastPrinted>2021-04-15T14:00:00Z</cp:lastPrinted>
  <dcterms:modified xsi:type="dcterms:W3CDTF">2025-11-21T08:46:02Z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7DF4009464ED4D64BE274A9A5778E0C3</vt:lpwstr>
  </property>
  <property fmtid="{D5CDD505-2E9C-101B-9397-08002B2CF9AE}" pid="4" name="KSOTemplateDocerSaveRecord">
    <vt:lpwstr>eyJoZGlkIjoiMzljMzNiOWEyYWYzZWE5NzUwYmEwZGVhMzkzNDg1YzEiLCJ1c2VySWQiOiIyMjgxMzQzNzQifQ==</vt:lpwstr>
  </property>
</Properties>
</file>